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sz w:val="44"/>
          <w:szCs w:val="44"/>
          <w:lang w:val="en-US" w:eastAsia="zh-CN"/>
        </w:rPr>
      </w:pPr>
      <w:r>
        <w:rPr>
          <w:rFonts w:hint="eastAsia"/>
          <w:sz w:val="44"/>
          <w:szCs w:val="44"/>
          <w:lang w:val="en-US" w:eastAsia="zh-CN"/>
        </w:rPr>
        <w:t>泽州县卫体局涉企行政检查公示信息</w:t>
      </w:r>
    </w:p>
    <w:p>
      <w:pPr>
        <w:jc w:val="both"/>
        <w:rPr>
          <w:rFonts w:hint="eastAsia"/>
          <w:sz w:val="32"/>
          <w:szCs w:val="32"/>
          <w:lang w:val="en-US" w:eastAsia="zh-CN"/>
        </w:rPr>
      </w:pPr>
      <w:r>
        <w:rPr>
          <w:rFonts w:hint="eastAsia"/>
          <w:sz w:val="32"/>
          <w:szCs w:val="32"/>
          <w:lang w:val="en-US" w:eastAsia="zh-CN"/>
        </w:rPr>
        <w:t>（盖章）</w:t>
      </w:r>
    </w:p>
    <w:tbl>
      <w:tblPr>
        <w:tblW w:w="14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999"/>
        <w:gridCol w:w="2351"/>
        <w:gridCol w:w="1863"/>
        <w:gridCol w:w="1956"/>
        <w:gridCol w:w="6141"/>
      </w:tblGrid>
      <w:tr>
        <w:trPr>
          <w:trHeight w:val="1216" w:hRule="atLeast"/>
        </w:trPr>
        <w:tc>
          <w:tcPr>
            <w:tcW w:w="910" w:type="dxa"/>
            <w:vAlign w:val="center"/>
          </w:tcPr>
          <w:p>
            <w:pPr>
              <w:jc w:val="center"/>
              <w:rPr>
                <w:rFonts w:hint="default"/>
                <w:sz w:val="28"/>
                <w:szCs w:val="28"/>
                <w:lang w:val="en-US" w:eastAsia="zh-CN"/>
              </w:rPr>
            </w:pPr>
            <w:r>
              <w:rPr>
                <w:rFonts w:hint="eastAsia"/>
                <w:sz w:val="28"/>
                <w:szCs w:val="28"/>
                <w:lang w:val="en-US" w:eastAsia="zh-CN"/>
              </w:rPr>
              <w:t>序号</w:t>
            </w:r>
          </w:p>
        </w:tc>
        <w:tc>
          <w:tcPr>
            <w:tcW w:w="999" w:type="dxa"/>
            <w:vAlign w:val="center"/>
          </w:tcPr>
          <w:p>
            <w:pPr>
              <w:jc w:val="center"/>
              <w:rPr>
                <w:rFonts w:hint="default"/>
                <w:sz w:val="28"/>
                <w:szCs w:val="28"/>
                <w:lang w:val="en-US" w:eastAsia="zh-CN"/>
              </w:rPr>
            </w:pPr>
            <w:r>
              <w:rPr>
                <w:rFonts w:hint="eastAsia"/>
                <w:sz w:val="28"/>
                <w:szCs w:val="28"/>
                <w:lang w:val="en-US" w:eastAsia="zh-CN"/>
              </w:rPr>
              <w:t>检查主体</w:t>
            </w:r>
          </w:p>
        </w:tc>
        <w:tc>
          <w:tcPr>
            <w:tcW w:w="2351" w:type="dxa"/>
            <w:vAlign w:val="center"/>
          </w:tcPr>
          <w:p>
            <w:pPr>
              <w:jc w:val="center"/>
              <w:rPr>
                <w:rFonts w:hint="default"/>
                <w:sz w:val="28"/>
                <w:szCs w:val="28"/>
                <w:lang w:val="en-US" w:eastAsia="zh-CN"/>
              </w:rPr>
            </w:pPr>
            <w:r>
              <w:rPr>
                <w:rFonts w:hint="eastAsia"/>
                <w:sz w:val="28"/>
                <w:szCs w:val="28"/>
                <w:lang w:val="en-US" w:eastAsia="zh-CN"/>
              </w:rPr>
              <w:t>检查事项</w:t>
            </w:r>
          </w:p>
        </w:tc>
        <w:tc>
          <w:tcPr>
            <w:tcW w:w="1863" w:type="dxa"/>
            <w:vAlign w:val="center"/>
          </w:tcPr>
          <w:p>
            <w:pPr>
              <w:jc w:val="center"/>
              <w:rPr>
                <w:rFonts w:hint="default"/>
                <w:sz w:val="28"/>
                <w:szCs w:val="28"/>
                <w:lang w:val="en-US" w:eastAsia="zh-CN"/>
              </w:rPr>
            </w:pPr>
            <w:r>
              <w:rPr>
                <w:rFonts w:hint="eastAsia"/>
                <w:sz w:val="28"/>
                <w:szCs w:val="28"/>
                <w:lang w:val="en-US" w:eastAsia="zh-CN"/>
              </w:rPr>
              <w:t>检查依据</w:t>
            </w:r>
          </w:p>
        </w:tc>
        <w:tc>
          <w:tcPr>
            <w:tcW w:w="1956" w:type="dxa"/>
            <w:vAlign w:val="center"/>
          </w:tcPr>
          <w:p>
            <w:pPr>
              <w:jc w:val="center"/>
              <w:rPr>
                <w:rFonts w:hint="default"/>
                <w:sz w:val="28"/>
                <w:szCs w:val="28"/>
                <w:lang w:val="en-US" w:eastAsia="zh-CN"/>
              </w:rPr>
            </w:pPr>
            <w:r>
              <w:rPr>
                <w:rFonts w:hint="eastAsia"/>
                <w:sz w:val="28"/>
                <w:szCs w:val="28"/>
                <w:lang w:val="en-US" w:eastAsia="zh-CN"/>
              </w:rPr>
              <w:t>检查频次</w:t>
            </w:r>
          </w:p>
        </w:tc>
        <w:tc>
          <w:tcPr>
            <w:tcW w:w="6141" w:type="dxa"/>
            <w:vAlign w:val="center"/>
          </w:tcPr>
          <w:p>
            <w:pPr>
              <w:jc w:val="center"/>
              <w:rPr>
                <w:rFonts w:hint="default"/>
                <w:sz w:val="28"/>
                <w:szCs w:val="28"/>
                <w:lang w:val="en-US" w:eastAsia="zh-CN"/>
              </w:rPr>
            </w:pPr>
            <w:r>
              <w:rPr>
                <w:rFonts w:hint="eastAsia"/>
                <w:sz w:val="28"/>
                <w:szCs w:val="28"/>
                <w:lang w:val="en-US" w:eastAsia="zh-CN"/>
              </w:rPr>
              <w:t>检查标准</w:t>
            </w:r>
          </w:p>
        </w:tc>
      </w:tr>
      <w:tr>
        <w:trPr>
          <w:trHeight w:val="362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999" w:type="dxa"/>
            <w:vAlign w:val="center"/>
          </w:tcPr>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用人单位基本情况</w:t>
            </w:r>
          </w:p>
          <w:p>
            <w:pPr>
              <w:jc w:val="both"/>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both"/>
              <w:rPr>
                <w:rFonts w:hint="eastAsia" w:ascii="仿宋" w:hAnsi="仿宋" w:eastAsia="仿宋" w:cs="仿宋"/>
                <w:i w:val="0"/>
                <w:iCs w:val="0"/>
                <w:caps w:val="0"/>
                <w:color w:val="333333"/>
                <w:spacing w:val="0"/>
                <w:sz w:val="24"/>
                <w:szCs w:val="24"/>
                <w:shd w:val="clear" w:color="080000" w:fill="FFFFFF"/>
                <w:lang w:val="en-US" w:eastAsia="zh-CN"/>
              </w:rPr>
            </w:pPr>
          </w:p>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default" w:ascii="仿宋" w:hAnsi="仿宋" w:eastAsia="仿宋" w:cs="仿宋"/>
                <w:i w:val="0"/>
                <w:iCs w:val="0"/>
                <w:caps w:val="0"/>
                <w:color w:val="333333"/>
                <w:spacing w:val="0"/>
                <w:sz w:val="32"/>
                <w:szCs w:val="32"/>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首先了解用人单位的一般情况，包括行业分类、主要原材料和产品、工艺流程、职工总数、作业人员数、接触有害作业人数等。</w:t>
            </w:r>
            <w:bookmarkStart w:id="0" w:name="_GoBack"/>
            <w:bookmarkEnd w:id="0"/>
          </w:p>
        </w:tc>
      </w:tr>
      <w:tr>
        <w:trPr>
          <w:trHeight w:val="362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职业卫生培训与教育情况</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是否按照法律要求落实了企业职业卫生管理组织机构及专职或兼职职业卫生管理人员；是否制定了职业病和职业危害防治规划和实施方案；企业主要负责人和职业卫生管理人员是否按照相关法律要求主动参加职业卫生培训；是否对劳动者进行了上岗前和在岗期间的定期职业卫生培训。</w:t>
            </w:r>
          </w:p>
        </w:tc>
      </w:tr>
      <w:tr>
        <w:trPr>
          <w:trHeight w:val="3994"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职业卫生管理制度与措施</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用人单位是否建立了完善的职业卫生管理制度；是否按照要求落实了各项职业卫生措施（如设置警示标识、提供个人防护用品等）。</w:t>
            </w:r>
          </w:p>
        </w:tc>
      </w:tr>
      <w:tr>
        <w:trPr>
          <w:trHeight w:val="536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职业健康监护与档案管理</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用人单位是否按照国家规定对劳动者进行职业健康检查，并建立职业健康监护档案。</w:t>
            </w:r>
          </w:p>
        </w:tc>
      </w:tr>
      <w:tr>
        <w:trPr>
          <w:trHeight w:val="362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职业病危害因素</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用人单位的主要职业病危害因素种类、分布场所及岗位，以及劳动者直接接触情况。</w:t>
            </w:r>
          </w:p>
        </w:tc>
      </w:tr>
      <w:tr>
        <w:trPr>
          <w:trHeight w:val="362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职业病防治工作开展情况</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在岗和离岗职业卫生检查情况；职业病危害因素监测情况；职业病防护设施的设置和使用情况，以及个人防护用品的发放和佩戴情况。</w:t>
            </w:r>
          </w:p>
        </w:tc>
      </w:tr>
      <w:tr>
        <w:trPr>
          <w:trHeight w:val="4148"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劳动合同与告知</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是否对劳动者进行了职业病危害告知，合同中是否明确注明了劳动过程中可能接触的职业病危害因素，以及用人单位和劳动者在职业病危害防治工作中的责任和义务。</w:t>
            </w:r>
          </w:p>
        </w:tc>
      </w:tr>
      <w:tr>
        <w:trPr>
          <w:trHeight w:val="4250"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“三同时”执行情况;</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用人单位近两年内生产的新建、改建、扩建或技术改造、技术引进建设项目是否经过“三同时”审查和竣工验收。</w:t>
            </w:r>
          </w:p>
        </w:tc>
      </w:tr>
      <w:tr>
        <w:trPr>
          <w:trHeight w:val="3909"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职业病危害因素监测评价</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用人单位是否按照要求进行作业场所职业病危害因素监测评价，并定期上报当地有关部门。</w:t>
            </w:r>
          </w:p>
        </w:tc>
      </w:tr>
      <w:tr>
        <w:trPr>
          <w:trHeight w:val="3741" w:hRule="atLeast"/>
        </w:trPr>
        <w:tc>
          <w:tcPr>
            <w:tcW w:w="91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999"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泽州县卫生健康和体育局</w:t>
            </w:r>
          </w:p>
        </w:tc>
        <w:tc>
          <w:tcPr>
            <w:tcW w:w="2351" w:type="dxa"/>
            <w:vAlign w:val="center"/>
          </w:tcPr>
          <w:p>
            <w:pPr>
              <w:numPr>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作业场所检查</w:t>
            </w:r>
          </w:p>
          <w:p>
            <w:pPr>
              <w:jc w:val="center"/>
              <w:rPr>
                <w:rFonts w:hint="eastAsia" w:ascii="仿宋" w:hAnsi="仿宋" w:eastAsia="仿宋" w:cs="仿宋"/>
                <w:sz w:val="24"/>
                <w:szCs w:val="24"/>
                <w:lang w:val="en-US" w:eastAsia="zh-CN"/>
              </w:rPr>
            </w:pPr>
          </w:p>
        </w:tc>
        <w:tc>
          <w:tcPr>
            <w:tcW w:w="1863" w:type="dxa"/>
            <w:vAlign w:val="center"/>
          </w:tcPr>
          <w:p>
            <w:pPr>
              <w:jc w:val="both"/>
              <w:rPr>
                <w:rFonts w:hint="default"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《中华人民共和国职业病防治法》《工作场所职业卫生管理规定》《用人单位职业健康监护监督管理办法》《建设项目职业病防护设施“三同时”监督管理办法》</w:t>
            </w:r>
          </w:p>
          <w:p>
            <w:pPr>
              <w:jc w:val="center"/>
              <w:rPr>
                <w:rFonts w:hint="eastAsia" w:ascii="仿宋" w:hAnsi="仿宋" w:eastAsia="仿宋" w:cs="仿宋"/>
                <w:sz w:val="24"/>
                <w:szCs w:val="24"/>
                <w:lang w:val="en-US" w:eastAsia="zh-CN"/>
              </w:rPr>
            </w:pPr>
          </w:p>
        </w:tc>
        <w:tc>
          <w:tcPr>
            <w:tcW w:w="1956" w:type="dxa"/>
            <w:vAlign w:val="center"/>
          </w:tcPr>
          <w:p>
            <w:pPr>
              <w:jc w:val="center"/>
              <w:rPr>
                <w:rFonts w:hint="eastAsia" w:ascii="仿宋" w:hAnsi="仿宋" w:eastAsia="仿宋" w:cs="仿宋"/>
                <w:i w:val="0"/>
                <w:iCs w:val="0"/>
                <w:caps w:val="0"/>
                <w:color w:val="333333"/>
                <w:spacing w:val="0"/>
                <w:sz w:val="24"/>
                <w:szCs w:val="24"/>
                <w:shd w:val="clear" w:color="080000" w:fill="FFFFFF"/>
                <w:lang w:eastAsia="zh-CN"/>
              </w:rPr>
            </w:pPr>
            <w:r>
              <w:rPr>
                <w:rFonts w:hint="eastAsia" w:ascii="仿宋" w:hAnsi="仿宋" w:eastAsia="仿宋" w:cs="仿宋"/>
                <w:i w:val="0"/>
                <w:iCs w:val="0"/>
                <w:caps w:val="0"/>
                <w:color w:val="333333"/>
                <w:spacing w:val="0"/>
                <w:sz w:val="24"/>
                <w:szCs w:val="24"/>
                <w:shd w:val="clear" w:color="080000" w:fill="FFFFFF"/>
              </w:rPr>
              <w:t>一年</w:t>
            </w:r>
            <w:r>
              <w:rPr>
                <w:rFonts w:hint="eastAsia" w:ascii="仿宋" w:hAnsi="仿宋" w:eastAsia="仿宋" w:cs="仿宋"/>
                <w:i w:val="0"/>
                <w:iCs w:val="0"/>
                <w:caps w:val="0"/>
                <w:color w:val="333333"/>
                <w:spacing w:val="0"/>
                <w:sz w:val="24"/>
                <w:szCs w:val="24"/>
                <w:shd w:val="clear" w:color="080000" w:fill="FFFFFF"/>
                <w:lang w:eastAsia="zh-CN"/>
              </w:rPr>
              <w:t>一</w:t>
            </w:r>
            <w:r>
              <w:rPr>
                <w:rFonts w:hint="eastAsia" w:ascii="仿宋" w:hAnsi="仿宋" w:eastAsia="仿宋" w:cs="仿宋"/>
                <w:i w:val="0"/>
                <w:iCs w:val="0"/>
                <w:caps w:val="0"/>
                <w:color w:val="333333"/>
                <w:spacing w:val="0"/>
                <w:sz w:val="24"/>
                <w:szCs w:val="24"/>
                <w:shd w:val="clear" w:color="080000" w:fill="FFFFFF"/>
              </w:rPr>
              <w:t>次</w:t>
            </w:r>
          </w:p>
          <w:p>
            <w:pPr>
              <w:jc w:val="center"/>
              <w:rPr>
                <w:rFonts w:hint="eastAsia" w:ascii="仿宋" w:hAnsi="仿宋" w:eastAsia="仿宋" w:cs="仿宋"/>
                <w:i w:val="0"/>
                <w:iCs w:val="0"/>
                <w:caps w:val="0"/>
                <w:color w:val="333333"/>
                <w:spacing w:val="0"/>
                <w:sz w:val="24"/>
                <w:szCs w:val="24"/>
                <w:shd w:val="clear" w:color="080000" w:fill="FFFFFF"/>
                <w:lang w:val="en-US" w:eastAsia="zh-CN"/>
              </w:rPr>
            </w:pPr>
          </w:p>
        </w:tc>
        <w:tc>
          <w:tcPr>
            <w:tcW w:w="6141" w:type="dxa"/>
            <w:vAlign w:val="center"/>
          </w:tcPr>
          <w:p>
            <w:pPr>
              <w:jc w:val="left"/>
              <w:rPr>
                <w:rFonts w:hint="eastAsia" w:ascii="仿宋" w:hAnsi="仿宋" w:eastAsia="仿宋" w:cs="仿宋"/>
                <w:i w:val="0"/>
                <w:iCs w:val="0"/>
                <w:caps w:val="0"/>
                <w:color w:val="333333"/>
                <w:spacing w:val="0"/>
                <w:sz w:val="24"/>
                <w:szCs w:val="24"/>
                <w:shd w:val="clear" w:color="080000" w:fill="FFFFFF"/>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在产生严重职业病危害因素的工作场所或工作岗位是否设置了警示标识和中文警示说明</w:t>
            </w:r>
            <w:r>
              <w:rPr>
                <w:rFonts w:hint="eastAsia" w:ascii="仿宋" w:hAnsi="仿宋" w:eastAsia="仿宋" w:cs="仿宋"/>
                <w:i w:val="0"/>
                <w:iCs w:val="0"/>
                <w:caps w:val="0"/>
                <w:color w:val="333333"/>
                <w:spacing w:val="0"/>
                <w:sz w:val="32"/>
                <w:szCs w:val="32"/>
                <w:shd w:val="clear" w:color="080000" w:fill="FFFFFF"/>
                <w:lang w:val="en-US" w:eastAsia="zh-CN"/>
              </w:rPr>
              <w:t>。</w:t>
            </w:r>
          </w:p>
        </w:tc>
      </w:tr>
    </w:tbl>
    <w:p>
      <w:pPr>
        <w:rPr>
          <w:rFonts w:hint="default"/>
          <w:sz w:val="32"/>
          <w:szCs w:val="32"/>
          <w:lang w:val="en-US" w:eastAsia="zh-CN"/>
        </w:rPr>
      </w:pPr>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130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2025-02-24T07:38:00Z</dcterms:created>
  <dc:creator>Administrator</dc:creator>
  <cp:lastModifiedBy>Administrator</cp:lastModifiedBy>
  <dcterms:modified xsi:type="dcterms:W3CDTF">2025-03-03T12:10:23Z</dcterms:modified>
  <dc:title>泽州县卫体局涉企行政检查公示信息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313247C282F3409AA37288F1BE6B6A0F_11</vt:lpwstr>
  </property>
  <property fmtid="{D5CDD505-2E9C-101B-9397-08002B2CF9AE}" pid="4" name="KSOTemplateDocerSaveRecord">
    <vt:lpwstr>eyJoZGlkIjoiOTVlNTE4Yzk3NjdmZjEzMzkyZjEyNjY5ZTZhMjhkZjcifQ==</vt:lpwstr>
  </property>
</Properties>
</file>